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F5445" w14:textId="45254F98" w:rsidR="004C0A18" w:rsidRPr="004C0A18" w:rsidRDefault="004C0A18" w:rsidP="004C0A18">
      <w:pPr>
        <w:widowControl w:val="0"/>
        <w:tabs>
          <w:tab w:val="right" w:pos="9639"/>
        </w:tabs>
        <w:spacing w:after="0"/>
        <w:jc w:val="both"/>
        <w:rPr>
          <w:rFonts w:ascii="Arial" w:eastAsia="Times New Roman" w:hAnsi="Arial" w:cs="Arial"/>
          <w:b/>
          <w:bCs/>
          <w:i/>
          <w:sz w:val="24"/>
          <w:szCs w:val="24"/>
        </w:rPr>
      </w:pPr>
      <w:bookmarkStart w:id="0" w:name="_Hlk519580081"/>
      <w:r w:rsidRPr="004C0A18">
        <w:rPr>
          <w:rFonts w:ascii="Arial" w:eastAsia="Times New Roman" w:hAnsi="Arial" w:cs="Arial"/>
          <w:b/>
          <w:bCs/>
          <w:sz w:val="24"/>
          <w:szCs w:val="24"/>
        </w:rPr>
        <w:t>3GPP TSG-RAN WG3 Meeting #106</w:t>
      </w:r>
      <w:r w:rsidRPr="004C0A18">
        <w:rPr>
          <w:rFonts w:ascii="Arial" w:eastAsia="Times New Roman" w:hAnsi="Arial" w:cs="Arial"/>
          <w:b/>
          <w:bCs/>
          <w:sz w:val="24"/>
          <w:szCs w:val="24"/>
        </w:rPr>
        <w:tab/>
        <w:t>R3-19</w:t>
      </w:r>
      <w:r w:rsidR="00B3135C">
        <w:rPr>
          <w:rFonts w:ascii="Arial" w:eastAsia="Times New Roman" w:hAnsi="Arial" w:cs="Arial"/>
          <w:b/>
          <w:bCs/>
          <w:sz w:val="24"/>
          <w:szCs w:val="24"/>
        </w:rPr>
        <w:t>6697</w:t>
      </w:r>
    </w:p>
    <w:bookmarkEnd w:id="0"/>
    <w:p w14:paraId="40709848" w14:textId="77777777" w:rsidR="004C0A18" w:rsidRPr="004C0A18" w:rsidRDefault="004C0A18" w:rsidP="004C0A18">
      <w:pPr>
        <w:widowControl w:val="0"/>
        <w:tabs>
          <w:tab w:val="left" w:pos="2410"/>
        </w:tabs>
        <w:spacing w:after="0"/>
        <w:rPr>
          <w:rFonts w:ascii="Arial" w:eastAsia="MS Mincho" w:hAnsi="Arial" w:cs="Arial"/>
          <w:b/>
          <w:noProof/>
          <w:sz w:val="24"/>
          <w:szCs w:val="24"/>
          <w:lang w:val="en-US"/>
        </w:rPr>
      </w:pPr>
      <w:r w:rsidRPr="004C0A18">
        <w:rPr>
          <w:rFonts w:ascii="Arial" w:eastAsia="MS Mincho" w:hAnsi="Arial" w:cs="Arial"/>
          <w:b/>
          <w:noProof/>
          <w:sz w:val="24"/>
          <w:szCs w:val="24"/>
          <w:lang w:val="en-US"/>
        </w:rPr>
        <w:t>Reno, NV, USA, 18-22 Nov 2019</w:t>
      </w:r>
    </w:p>
    <w:p w14:paraId="2F96B0BD" w14:textId="77777777" w:rsidR="002F2360" w:rsidRPr="00813CDA" w:rsidRDefault="002F2360" w:rsidP="002F2360">
      <w:pPr>
        <w:pStyle w:val="Header"/>
        <w:tabs>
          <w:tab w:val="left" w:pos="2410"/>
        </w:tabs>
        <w:rPr>
          <w:bCs/>
          <w:noProof w:val="0"/>
          <w:sz w:val="24"/>
          <w:lang w:val="en-US"/>
        </w:rPr>
      </w:pPr>
    </w:p>
    <w:p w14:paraId="430718D4" w14:textId="3D6277E7"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E0083B">
        <w:rPr>
          <w:rFonts w:cs="Arial"/>
          <w:b/>
          <w:bCs/>
          <w:sz w:val="24"/>
        </w:rPr>
        <w:t>15.</w:t>
      </w:r>
      <w:r w:rsidR="004C0A18">
        <w:rPr>
          <w:rFonts w:cs="Arial"/>
          <w:b/>
          <w:bCs/>
          <w:sz w:val="24"/>
        </w:rPr>
        <w:t>4</w:t>
      </w:r>
      <w:r w:rsidR="00E0083B">
        <w:rPr>
          <w:rFonts w:cs="Arial"/>
          <w:b/>
          <w:bCs/>
          <w:sz w:val="24"/>
        </w:rPr>
        <w:t>.1</w:t>
      </w:r>
      <w:r w:rsidR="004C0A18">
        <w:rPr>
          <w:rFonts w:cs="Arial"/>
          <w:b/>
          <w:bCs/>
          <w:sz w:val="24"/>
        </w:rPr>
        <w:t>.2</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23415F6A"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4C0A18">
        <w:rPr>
          <w:rFonts w:ascii="Arial" w:hAnsi="Arial" w:cs="Arial"/>
          <w:b/>
          <w:bCs/>
          <w:sz w:val="24"/>
        </w:rPr>
        <w:t>Late data forwarding in case of multiple targets prepared for CHO</w:t>
      </w:r>
    </w:p>
    <w:p w14:paraId="0F79702C" w14:textId="0AE6489D"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4CAD8B08" w14:textId="0039B0E7" w:rsidR="005E3D0F" w:rsidRDefault="0002700F" w:rsidP="008572DC">
      <w:pPr>
        <w:rPr>
          <w:lang w:val="en-US"/>
        </w:rPr>
      </w:pPr>
      <w:bookmarkStart w:id="1" w:name="_Toc474247438"/>
      <w:r>
        <w:rPr>
          <w:lang w:val="en-US"/>
        </w:rPr>
        <w:t xml:space="preserve">At RAN3 #105, it was discussed </w:t>
      </w:r>
      <w:r w:rsidR="006E3314">
        <w:rPr>
          <w:lang w:val="en-US"/>
        </w:rPr>
        <w:t xml:space="preserve">if any limitations to the UE ID handling is needed. It was also declared that the current principles shall not be changed. </w:t>
      </w:r>
      <w:r w:rsidR="004C0A18">
        <w:rPr>
          <w:lang w:val="en-US"/>
        </w:rPr>
        <w:t>This topic was not pursued at RAN3 #105-bis</w:t>
      </w:r>
      <w:r w:rsidR="00C531E7">
        <w:rPr>
          <w:lang w:val="en-US"/>
        </w:rPr>
        <w:t xml:space="preserve"> (though, we had a related contribution in [1])</w:t>
      </w:r>
      <w:r w:rsidR="004C0A18">
        <w:rPr>
          <w:lang w:val="en-US"/>
        </w:rPr>
        <w:t>. However, in this paper</w:t>
      </w:r>
      <w:r w:rsidR="001731F0">
        <w:rPr>
          <w:lang w:val="en-US"/>
        </w:rPr>
        <w:t>, based on [1],</w:t>
      </w:r>
      <w:r w:rsidR="004C0A18">
        <w:rPr>
          <w:lang w:val="en-US"/>
        </w:rPr>
        <w:t xml:space="preserve"> we further </w:t>
      </w:r>
      <w:proofErr w:type="spellStart"/>
      <w:r w:rsidR="004C0A18">
        <w:rPr>
          <w:lang w:val="en-US"/>
        </w:rPr>
        <w:t>analyse</w:t>
      </w:r>
      <w:proofErr w:type="spellEnd"/>
      <w:r w:rsidR="004C0A18">
        <w:rPr>
          <w:lang w:val="en-US"/>
        </w:rPr>
        <w:t xml:space="preserve"> the issue of UE identification in case of late data forwarding when multiple cells are prepared for CHO in the same target node.</w:t>
      </w:r>
    </w:p>
    <w:p w14:paraId="309917E7" w14:textId="77777777" w:rsidR="00051152" w:rsidRPr="005F10C3" w:rsidRDefault="00BE5235" w:rsidP="00051152">
      <w:pPr>
        <w:pStyle w:val="Heading1"/>
        <w:tabs>
          <w:tab w:val="left" w:pos="2410"/>
        </w:tabs>
      </w:pPr>
      <w:r w:rsidRPr="005F10C3">
        <w:t>2</w:t>
      </w:r>
      <w:r w:rsidR="00051152" w:rsidRPr="005F10C3">
        <w:tab/>
      </w:r>
      <w:r w:rsidRPr="005F10C3">
        <w:t>Discussion</w:t>
      </w:r>
    </w:p>
    <w:bookmarkEnd w:id="1"/>
    <w:p w14:paraId="4DCF3FBF" w14:textId="1561064F" w:rsidR="008B0A25" w:rsidRDefault="008B0A25" w:rsidP="005759A2">
      <w:r>
        <w:t xml:space="preserve">In a classic HO, the tunnel endpoints are exchanged in the Handover Preparation procedure and data forwarding for this UE starts as soon as the UE disconnects from the source. </w:t>
      </w:r>
      <w:r w:rsidR="005258EB">
        <w:t>In case of multiple preparation, it is the source that decides which HO Command is delivered to the UE and therefore it knows towards which target node/cell data forwarding shall be initiated.</w:t>
      </w:r>
    </w:p>
    <w:p w14:paraId="52F03209" w14:textId="66A9F545" w:rsidR="0038731B" w:rsidRDefault="001F10EA" w:rsidP="005759A2">
      <w:r>
        <w:t>In the context of CHO</w:t>
      </w:r>
      <w:r w:rsidR="00490E2A">
        <w:t xml:space="preserve"> and multiple preparation towards the same target node</w:t>
      </w:r>
      <w:r>
        <w:t xml:space="preserve">, it has been considered that </w:t>
      </w:r>
      <w:r w:rsidR="00490E2A">
        <w:t xml:space="preserve">both nodes shall have full freedom in the UE context management. There is no issue about the source: if it manages each CHO request as a separate UE context (a new UE ID) the target must follow it, because it has no indication the requests concern the same UE. </w:t>
      </w:r>
      <w:r w:rsidR="00A93099">
        <w:t xml:space="preserve">Therefore, each CHO request has unique pair of UE IDs and when CHO is executed, the TEID can be matched using </w:t>
      </w:r>
      <w:proofErr w:type="gramStart"/>
      <w:r w:rsidR="00A93099">
        <w:t>those UE IDs</w:t>
      </w:r>
      <w:proofErr w:type="gramEnd"/>
      <w:r w:rsidR="00A93099">
        <w:t>.</w:t>
      </w:r>
    </w:p>
    <w:p w14:paraId="21334ED4" w14:textId="0D9A29B6" w:rsidR="00A93099" w:rsidRDefault="00A93099" w:rsidP="005759A2">
      <w:r>
        <w:t>Similarly, if the source uses the same UE ID, but the target allocates different UE ID for each CHO request of the same UE, each request is identified with unique pair of UE IDs.</w:t>
      </w:r>
    </w:p>
    <w:p w14:paraId="0AE439C0" w14:textId="4D45188A" w:rsidR="00A93099" w:rsidRPr="00A93099" w:rsidRDefault="00A93099" w:rsidP="005759A2">
      <w:pPr>
        <w:rPr>
          <w:b/>
        </w:rPr>
      </w:pPr>
      <w:r w:rsidRPr="00A93099">
        <w:rPr>
          <w:b/>
        </w:rPr>
        <w:t>Observation 1: If the source or the target allocates a new UE ID for each CHO preparation of the same UE, the TEID at the target node can be identified using the UE IDs only.</w:t>
      </w:r>
    </w:p>
    <w:p w14:paraId="6ABA1BF9" w14:textId="4E07FDEA" w:rsidR="00972E18" w:rsidRDefault="004609C3" w:rsidP="004609C3">
      <w:r>
        <w:t xml:space="preserve">However, it is also allowed that the target also manages the UE within a single UE Context and thus it responds to each CHO preparation request of the same UE with the same UE ID. It may, however, use different TEID for each target cell. </w:t>
      </w:r>
      <w:r w:rsidR="00DD2F40">
        <w:t>Therefore, in the case that the target allocate</w:t>
      </w:r>
      <w:r w:rsidR="00F5271E">
        <w:t>s</w:t>
      </w:r>
      <w:r w:rsidR="00DD2F40">
        <w:t xml:space="preserve"> the same UE ID to all preparations</w:t>
      </w:r>
      <w:r w:rsidR="00F5271E">
        <w:t xml:space="preserve"> of the same UE</w:t>
      </w:r>
      <w:r w:rsidR="00DD2F40">
        <w:t>, but different TEIDs, the source must know which TEID to use once the UE accesses the target node</w:t>
      </w:r>
      <w:r w:rsidR="00F5271E">
        <w:t>, if late data forwarding is used</w:t>
      </w:r>
      <w:r w:rsidR="00DD2F40">
        <w:t>. To enable it, the target cell ID shall be included in the Handover Success procedure.</w:t>
      </w:r>
      <w:r w:rsidR="00F5271E">
        <w:t xml:space="preserve"> </w:t>
      </w:r>
    </w:p>
    <w:p w14:paraId="23A4DAD1" w14:textId="608FA4F6" w:rsidR="00F5271E" w:rsidRDefault="00F5271E" w:rsidP="004609C3">
      <w:r>
        <w:t>It is important to note, that the target cell ID shall correspond to the target cell requested in the HO preparation. If the target node modified the request and provided HO Command with a different target cell, the target cell ID in HO Success shall be the one that was requested.</w:t>
      </w:r>
    </w:p>
    <w:p w14:paraId="3838C95A" w14:textId="7AD0BF55" w:rsidR="003F51E9" w:rsidRPr="00556793" w:rsidRDefault="00DD2F40" w:rsidP="005759A2">
      <w:pPr>
        <w:rPr>
          <w:b/>
        </w:rPr>
      </w:pPr>
      <w:r w:rsidRPr="00556793">
        <w:rPr>
          <w:b/>
        </w:rPr>
        <w:t>Proposal 1: The Handover Success procedure shall carry the target cell ID</w:t>
      </w:r>
      <w:r w:rsidR="00F5271E">
        <w:rPr>
          <w:b/>
        </w:rPr>
        <w:t xml:space="preserve"> that was requested in the HO preparation.</w:t>
      </w:r>
      <w:r w:rsidRPr="00556793">
        <w:rPr>
          <w:b/>
        </w:rPr>
        <w:t xml:space="preserve"> </w:t>
      </w:r>
      <w:r w:rsidR="00F5271E">
        <w:rPr>
          <w:b/>
        </w:rPr>
        <w:t>T</w:t>
      </w:r>
      <w:r w:rsidRPr="00556793">
        <w:rPr>
          <w:b/>
        </w:rPr>
        <w:t xml:space="preserve">he target’s </w:t>
      </w:r>
      <w:r w:rsidR="00F5271E">
        <w:rPr>
          <w:b/>
        </w:rPr>
        <w:t>TEID</w:t>
      </w:r>
      <w:r w:rsidRPr="00556793">
        <w:rPr>
          <w:b/>
        </w:rPr>
        <w:t xml:space="preserve"> used in case of late forwarding shall correspond to the target cell ID reported in the Handover Success. </w:t>
      </w:r>
    </w:p>
    <w:p w14:paraId="11782FD5" w14:textId="2ACF0412" w:rsidR="00DD2F40" w:rsidRDefault="00556793" w:rsidP="005759A2">
      <w:r>
        <w:t xml:space="preserve">Yet another issue related to UE identification is cancelling all other HO preparations, once the UE accesses the target node. </w:t>
      </w:r>
      <w:r w:rsidR="00054F0E">
        <w:t>The safe way, which secures all possible implementations, is explicit cancellation of all other preparations, irrespectively from the node they were made at. However, this may cause excessive signalling – and</w:t>
      </w:r>
      <w:r w:rsidR="00C531E7">
        <w:t>,</w:t>
      </w:r>
      <w:r w:rsidR="00054F0E">
        <w:t xml:space="preserve"> likely, unnecessary. So, some optimisations can be considered.</w:t>
      </w:r>
    </w:p>
    <w:p w14:paraId="654B7614" w14:textId="19536074" w:rsidR="00054F0E" w:rsidRDefault="00B76DF2" w:rsidP="005759A2">
      <w:r>
        <w:lastRenderedPageBreak/>
        <w:t xml:space="preserve">Even if explicit cancelling of redundant preparations in other nodes is inevitable, preparations made towards the same node as the one where the UE accessed the target cell may be cancelled automatically, by the target node itself. Of course, only if it can identify them as belonging to the same UE. Since it </w:t>
      </w:r>
      <w:r w:rsidR="00C531E7">
        <w:t>i</w:t>
      </w:r>
      <w:r>
        <w:t xml:space="preserve">s </w:t>
      </w:r>
      <w:r w:rsidR="00C531E7">
        <w:t xml:space="preserve">already agreed </w:t>
      </w:r>
      <w:r>
        <w:t xml:space="preserve">that </w:t>
      </w:r>
      <w:r w:rsidR="00C531E7">
        <w:t>UE context</w:t>
      </w:r>
      <w:r>
        <w:t xml:space="preserve"> handling shall be </w:t>
      </w:r>
      <w:r w:rsidR="00C531E7">
        <w:t>left up to implementation</w:t>
      </w:r>
      <w:r>
        <w:t xml:space="preserve">, </w:t>
      </w:r>
      <w:r w:rsidR="00C063E2">
        <w:t>the automatic cancellation may concern only the same UE association (i.e. pair of UE IDs).</w:t>
      </w:r>
    </w:p>
    <w:p w14:paraId="4511AD41" w14:textId="4C001C30" w:rsidR="00C063E2" w:rsidRPr="00556793" w:rsidRDefault="00C063E2" w:rsidP="00C063E2">
      <w:pPr>
        <w:rPr>
          <w:b/>
        </w:rPr>
      </w:pPr>
      <w:r w:rsidRPr="00556793">
        <w:rPr>
          <w:b/>
        </w:rPr>
        <w:t xml:space="preserve">Proposal </w:t>
      </w:r>
      <w:r>
        <w:rPr>
          <w:b/>
        </w:rPr>
        <w:t>2</w:t>
      </w:r>
      <w:r w:rsidRPr="00556793">
        <w:rPr>
          <w:b/>
        </w:rPr>
        <w:t xml:space="preserve">: </w:t>
      </w:r>
      <w:r>
        <w:rPr>
          <w:b/>
        </w:rPr>
        <w:t>Once the target cell reports the handover success, all CHO preparations made for the same pair of UE IDs are cancelled at the target node.</w:t>
      </w:r>
    </w:p>
    <w:p w14:paraId="28E42E52" w14:textId="77777777" w:rsidR="000F16C4" w:rsidRPr="005F10C3" w:rsidRDefault="00CD2620" w:rsidP="00E00CEF">
      <w:pPr>
        <w:pStyle w:val="Heading1"/>
      </w:pPr>
      <w:r w:rsidRPr="005F10C3">
        <w:t>3</w:t>
      </w:r>
      <w:r w:rsidR="000F16C4" w:rsidRPr="005F10C3">
        <w:tab/>
      </w:r>
      <w:r w:rsidRPr="005F10C3">
        <w:t>Conclusions</w:t>
      </w:r>
    </w:p>
    <w:p w14:paraId="1A2F2EC8" w14:textId="4449872D" w:rsidR="00CC4DEA" w:rsidRDefault="00CB6750" w:rsidP="00CC4DEA">
      <w:pPr>
        <w:jc w:val="both"/>
        <w:rPr>
          <w:bCs/>
          <w:lang w:val="en-US"/>
        </w:rPr>
      </w:pPr>
      <w:r>
        <w:rPr>
          <w:bCs/>
          <w:lang w:val="en-US"/>
        </w:rPr>
        <w:t xml:space="preserve">In this paper, we </w:t>
      </w:r>
      <w:proofErr w:type="spellStart"/>
      <w:r>
        <w:rPr>
          <w:bCs/>
          <w:lang w:val="en-US"/>
        </w:rPr>
        <w:t>analyse</w:t>
      </w:r>
      <w:proofErr w:type="spellEnd"/>
      <w:r>
        <w:rPr>
          <w:bCs/>
          <w:lang w:val="en-US"/>
        </w:rPr>
        <w:t xml:space="preserve"> how the </w:t>
      </w:r>
      <w:r w:rsidR="00C531E7">
        <w:rPr>
          <w:bCs/>
          <w:lang w:val="en-US"/>
        </w:rPr>
        <w:t xml:space="preserve">late data forwarding can be handled when CHO is prepared towards multiple cells in the same target node using the </w:t>
      </w:r>
      <w:r>
        <w:rPr>
          <w:bCs/>
          <w:lang w:val="en-US"/>
        </w:rPr>
        <w:t xml:space="preserve">3 IDs </w:t>
      </w:r>
      <w:r w:rsidR="00C531E7">
        <w:rPr>
          <w:bCs/>
          <w:lang w:val="en-US"/>
        </w:rPr>
        <w:t>available</w:t>
      </w:r>
      <w:r>
        <w:rPr>
          <w:bCs/>
          <w:lang w:val="en-US"/>
        </w:rPr>
        <w:t xml:space="preserve"> in the </w:t>
      </w:r>
      <w:r w:rsidR="00C531E7">
        <w:rPr>
          <w:bCs/>
          <w:lang w:val="en-US"/>
        </w:rPr>
        <w:t>C</w:t>
      </w:r>
      <w:r>
        <w:rPr>
          <w:bCs/>
          <w:lang w:val="en-US"/>
        </w:rPr>
        <w:t>HO (source’s UE ID, target’s UE ID and the target cell ID). We make following observation:</w:t>
      </w:r>
    </w:p>
    <w:p w14:paraId="3C35145A" w14:textId="6563E2F8" w:rsidR="00CB6750" w:rsidRPr="00346189" w:rsidRDefault="00CB6750" w:rsidP="00C531E7">
      <w:pPr>
        <w:ind w:left="284"/>
        <w:rPr>
          <w:b/>
        </w:rPr>
      </w:pPr>
      <w:r w:rsidRPr="00346189">
        <w:rPr>
          <w:b/>
        </w:rPr>
        <w:t xml:space="preserve">Observation 1: </w:t>
      </w:r>
      <w:r w:rsidR="00C531E7" w:rsidRPr="00A93099">
        <w:rPr>
          <w:b/>
        </w:rPr>
        <w:t>If the source or the target allocates a new UE ID for each CHO preparation of the same UE, the TEID at the target node can be identified using the UE IDs only.</w:t>
      </w:r>
    </w:p>
    <w:p w14:paraId="3FE050AB" w14:textId="2F8FAB64" w:rsidR="00CB6750" w:rsidRDefault="00CB6750" w:rsidP="00CC4DEA">
      <w:pPr>
        <w:jc w:val="both"/>
        <w:rPr>
          <w:bCs/>
        </w:rPr>
      </w:pPr>
      <w:r>
        <w:rPr>
          <w:bCs/>
        </w:rPr>
        <w:t>This allows to make following proposals:</w:t>
      </w:r>
    </w:p>
    <w:p w14:paraId="2E5A3782" w14:textId="2FBD0C09" w:rsidR="00CB6750" w:rsidRPr="00556793" w:rsidRDefault="00CB6750" w:rsidP="00DA172F">
      <w:pPr>
        <w:ind w:left="284"/>
        <w:rPr>
          <w:b/>
        </w:rPr>
      </w:pPr>
      <w:r w:rsidRPr="00556793">
        <w:rPr>
          <w:b/>
        </w:rPr>
        <w:t xml:space="preserve">Proposal 1: </w:t>
      </w:r>
      <w:r w:rsidR="00C531E7" w:rsidRPr="00556793">
        <w:rPr>
          <w:b/>
        </w:rPr>
        <w:t>The Handover Success procedure shall carry the target cell ID</w:t>
      </w:r>
      <w:r w:rsidR="00C531E7">
        <w:rPr>
          <w:b/>
        </w:rPr>
        <w:t xml:space="preserve"> that was requested in the HO preparation.</w:t>
      </w:r>
      <w:r w:rsidR="00C531E7" w:rsidRPr="00556793">
        <w:rPr>
          <w:b/>
        </w:rPr>
        <w:t xml:space="preserve"> </w:t>
      </w:r>
      <w:r w:rsidR="00C531E7">
        <w:rPr>
          <w:b/>
        </w:rPr>
        <w:t>T</w:t>
      </w:r>
      <w:r w:rsidR="00C531E7" w:rsidRPr="00556793">
        <w:rPr>
          <w:b/>
        </w:rPr>
        <w:t xml:space="preserve">he target’s </w:t>
      </w:r>
      <w:r w:rsidR="00C531E7">
        <w:rPr>
          <w:b/>
        </w:rPr>
        <w:t>TEID</w:t>
      </w:r>
      <w:r w:rsidR="00C531E7" w:rsidRPr="00556793">
        <w:rPr>
          <w:b/>
        </w:rPr>
        <w:t xml:space="preserve"> used in case of late forwarding shall correspond to the target cell ID reported in the Handover Success.</w:t>
      </w:r>
    </w:p>
    <w:p w14:paraId="56103E88" w14:textId="5264DF21" w:rsidR="00CB6750" w:rsidRPr="00556793" w:rsidRDefault="00CB6750" w:rsidP="00DA172F">
      <w:pPr>
        <w:ind w:left="284"/>
        <w:rPr>
          <w:b/>
        </w:rPr>
      </w:pPr>
      <w:r w:rsidRPr="00556793">
        <w:rPr>
          <w:b/>
        </w:rPr>
        <w:t xml:space="preserve">Proposal </w:t>
      </w:r>
      <w:r>
        <w:rPr>
          <w:b/>
        </w:rPr>
        <w:t>2</w:t>
      </w:r>
      <w:r w:rsidRPr="00556793">
        <w:rPr>
          <w:b/>
        </w:rPr>
        <w:t xml:space="preserve">: </w:t>
      </w:r>
      <w:r w:rsidR="00C531E7">
        <w:rPr>
          <w:b/>
        </w:rPr>
        <w:t>Once the target cell reports the handover success, all CHO preparations made for the same pair of UE IDs are cancelled at the target node.</w:t>
      </w:r>
    </w:p>
    <w:p w14:paraId="212DCA15" w14:textId="4EF1DD28" w:rsidR="00CB6750" w:rsidRDefault="00CB6750" w:rsidP="00CC4DEA">
      <w:pPr>
        <w:jc w:val="both"/>
        <w:rPr>
          <w:bCs/>
          <w:lang w:val="en-US"/>
        </w:rPr>
      </w:pPr>
      <w:r>
        <w:rPr>
          <w:bCs/>
          <w:lang w:val="en-US"/>
        </w:rPr>
        <w:t xml:space="preserve">The proposals are implemented in two TPs, for </w:t>
      </w:r>
      <w:proofErr w:type="spellStart"/>
      <w:r>
        <w:rPr>
          <w:bCs/>
          <w:lang w:val="en-US"/>
        </w:rPr>
        <w:t>X</w:t>
      </w:r>
      <w:r w:rsidR="00E0083B">
        <w:rPr>
          <w:bCs/>
          <w:lang w:val="en-US"/>
        </w:rPr>
        <w:t>n</w:t>
      </w:r>
      <w:r>
        <w:rPr>
          <w:bCs/>
          <w:lang w:val="en-US"/>
        </w:rPr>
        <w:t>AP</w:t>
      </w:r>
      <w:proofErr w:type="spellEnd"/>
      <w:r>
        <w:rPr>
          <w:bCs/>
          <w:lang w:val="en-US"/>
        </w:rPr>
        <w:t xml:space="preserve"> BL CR [</w:t>
      </w:r>
      <w:r w:rsidR="00C531E7">
        <w:rPr>
          <w:bCs/>
          <w:lang w:val="en-US"/>
        </w:rPr>
        <w:t>2</w:t>
      </w:r>
      <w:r>
        <w:rPr>
          <w:bCs/>
          <w:lang w:val="en-US"/>
        </w:rPr>
        <w:t>] and for X</w:t>
      </w:r>
      <w:r w:rsidR="00E0083B">
        <w:rPr>
          <w:bCs/>
          <w:lang w:val="en-US"/>
        </w:rPr>
        <w:t>2</w:t>
      </w:r>
      <w:r>
        <w:rPr>
          <w:bCs/>
          <w:lang w:val="en-US"/>
        </w:rPr>
        <w:t>AP BL CR [</w:t>
      </w:r>
      <w:r w:rsidR="00C531E7">
        <w:rPr>
          <w:bCs/>
          <w:lang w:val="en-US"/>
        </w:rPr>
        <w:t>3</w:t>
      </w:r>
      <w:r>
        <w:rPr>
          <w:bCs/>
          <w:lang w:val="en-US"/>
        </w:rPr>
        <w:t>].</w:t>
      </w:r>
    </w:p>
    <w:p w14:paraId="483F8717" w14:textId="77777777" w:rsidR="00403B9B" w:rsidRPr="006E13D1" w:rsidRDefault="00403B9B" w:rsidP="00403B9B">
      <w:pPr>
        <w:pStyle w:val="Heading1"/>
      </w:pPr>
      <w:r w:rsidRPr="006E13D1">
        <w:t>References</w:t>
      </w:r>
    </w:p>
    <w:p w14:paraId="3DE2A0DA" w14:textId="20D7BA96" w:rsidR="00EF4630" w:rsidRDefault="00846E32" w:rsidP="00671901">
      <w:pPr>
        <w:numPr>
          <w:ilvl w:val="0"/>
          <w:numId w:val="4"/>
        </w:numPr>
        <w:overflowPunct w:val="0"/>
        <w:autoSpaceDE w:val="0"/>
        <w:autoSpaceDN w:val="0"/>
        <w:adjustRightInd w:val="0"/>
        <w:textAlignment w:val="baseline"/>
        <w:rPr>
          <w:lang w:val="en-US"/>
        </w:rPr>
      </w:pPr>
      <w:bookmarkStart w:id="2" w:name="_Hlk4571997"/>
      <w:r>
        <w:rPr>
          <w:lang w:val="en-US"/>
        </w:rPr>
        <w:t>R3-19</w:t>
      </w:r>
      <w:r w:rsidR="00C531E7">
        <w:rPr>
          <w:lang w:val="en-US"/>
        </w:rPr>
        <w:t>5210</w:t>
      </w:r>
      <w:r>
        <w:rPr>
          <w:lang w:val="en-US"/>
        </w:rPr>
        <w:t>, RAN3 #10</w:t>
      </w:r>
      <w:r w:rsidR="009E3E1E">
        <w:rPr>
          <w:lang w:val="en-US"/>
        </w:rPr>
        <w:t>5</w:t>
      </w:r>
      <w:r w:rsidR="00CB6750">
        <w:rPr>
          <w:lang w:val="en-US"/>
        </w:rPr>
        <w:t>-bis</w:t>
      </w:r>
    </w:p>
    <w:p w14:paraId="656CFDD6" w14:textId="481C51F0" w:rsidR="00C531E7" w:rsidRDefault="00C531E7" w:rsidP="00671901">
      <w:pPr>
        <w:numPr>
          <w:ilvl w:val="0"/>
          <w:numId w:val="4"/>
        </w:numPr>
        <w:overflowPunct w:val="0"/>
        <w:autoSpaceDE w:val="0"/>
        <w:autoSpaceDN w:val="0"/>
        <w:adjustRightInd w:val="0"/>
        <w:textAlignment w:val="baseline"/>
        <w:rPr>
          <w:lang w:val="en-US"/>
        </w:rPr>
      </w:pPr>
      <w:r>
        <w:rPr>
          <w:lang w:val="en-US"/>
        </w:rPr>
        <w:t>R3-19</w:t>
      </w:r>
      <w:r w:rsidR="00B3135C">
        <w:rPr>
          <w:lang w:val="en-US"/>
        </w:rPr>
        <w:t>6698</w:t>
      </w:r>
      <w:r>
        <w:rPr>
          <w:lang w:val="en-US"/>
        </w:rPr>
        <w:t>, RAN3 #106</w:t>
      </w:r>
    </w:p>
    <w:p w14:paraId="38F6A890" w14:textId="1564AEEB" w:rsidR="00CB6750" w:rsidRDefault="00CB6750" w:rsidP="00671901">
      <w:pPr>
        <w:numPr>
          <w:ilvl w:val="0"/>
          <w:numId w:val="4"/>
        </w:numPr>
        <w:overflowPunct w:val="0"/>
        <w:autoSpaceDE w:val="0"/>
        <w:autoSpaceDN w:val="0"/>
        <w:adjustRightInd w:val="0"/>
        <w:textAlignment w:val="baseline"/>
        <w:rPr>
          <w:lang w:val="en-US"/>
        </w:rPr>
      </w:pPr>
      <w:r>
        <w:rPr>
          <w:lang w:val="en-US"/>
        </w:rPr>
        <w:t>R3-19</w:t>
      </w:r>
      <w:r w:rsidR="00B3135C">
        <w:rPr>
          <w:lang w:val="en-US"/>
        </w:rPr>
        <w:t>6699</w:t>
      </w:r>
      <w:bookmarkStart w:id="3" w:name="_GoBack"/>
      <w:bookmarkEnd w:id="3"/>
      <w:r>
        <w:rPr>
          <w:lang w:val="en-US"/>
        </w:rPr>
        <w:t>, RAN3 #10</w:t>
      </w:r>
      <w:r w:rsidR="00C531E7">
        <w:rPr>
          <w:lang w:val="en-US"/>
        </w:rPr>
        <w:t>6</w:t>
      </w:r>
    </w:p>
    <w:bookmarkEnd w:id="2"/>
    <w:p w14:paraId="01293442" w14:textId="77777777" w:rsidR="0022219E" w:rsidRPr="00591568" w:rsidRDefault="0022219E" w:rsidP="0022219E">
      <w:pPr>
        <w:overflowPunct w:val="0"/>
        <w:autoSpaceDE w:val="0"/>
        <w:autoSpaceDN w:val="0"/>
        <w:adjustRightInd w:val="0"/>
        <w:textAlignment w:val="baseline"/>
      </w:pPr>
    </w:p>
    <w:sectPr w:rsidR="0022219E" w:rsidRPr="0059156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90AB5" w14:textId="77777777" w:rsidR="00E60C6F" w:rsidRDefault="00E60C6F">
      <w:r>
        <w:separator/>
      </w:r>
    </w:p>
  </w:endnote>
  <w:endnote w:type="continuationSeparator" w:id="0">
    <w:p w14:paraId="7CD8D42C" w14:textId="77777777" w:rsidR="00E60C6F" w:rsidRDefault="00E60C6F">
      <w:r>
        <w:continuationSeparator/>
      </w:r>
    </w:p>
  </w:endnote>
  <w:endnote w:type="continuationNotice" w:id="1">
    <w:p w14:paraId="21A14275" w14:textId="77777777" w:rsidR="00E60C6F" w:rsidRDefault="00E60C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l‚r –ľ’©"/>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E3654" w14:textId="77777777" w:rsidR="00E60C6F" w:rsidRDefault="00E60C6F">
      <w:r>
        <w:separator/>
      </w:r>
    </w:p>
  </w:footnote>
  <w:footnote w:type="continuationSeparator" w:id="0">
    <w:p w14:paraId="099833A8" w14:textId="77777777" w:rsidR="00E60C6F" w:rsidRDefault="00E60C6F">
      <w:r>
        <w:continuationSeparator/>
      </w:r>
    </w:p>
  </w:footnote>
  <w:footnote w:type="continuationNotice" w:id="1">
    <w:p w14:paraId="0C96FD64" w14:textId="77777777" w:rsidR="00E60C6F" w:rsidRDefault="00E60C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3"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5"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25"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24"/>
  </w:num>
  <w:num w:numId="3">
    <w:abstractNumId w:val="12"/>
  </w:num>
  <w:num w:numId="4">
    <w:abstractNumId w:val="9"/>
  </w:num>
  <w:num w:numId="5">
    <w:abstractNumId w:val="10"/>
  </w:num>
  <w:num w:numId="6">
    <w:abstractNumId w:val="31"/>
  </w:num>
  <w:num w:numId="7">
    <w:abstractNumId w:val="21"/>
  </w:num>
  <w:num w:numId="8">
    <w:abstractNumId w:val="13"/>
  </w:num>
  <w:num w:numId="9">
    <w:abstractNumId w:val="30"/>
  </w:num>
  <w:num w:numId="10">
    <w:abstractNumId w:val="20"/>
  </w:num>
  <w:num w:numId="11">
    <w:abstractNumId w:val="11"/>
  </w:num>
  <w:num w:numId="12">
    <w:abstractNumId w:val="26"/>
  </w:num>
  <w:num w:numId="13">
    <w:abstractNumId w:val="27"/>
  </w:num>
  <w:num w:numId="14">
    <w:abstractNumId w:val="25"/>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6"/>
  </w:num>
  <w:num w:numId="25">
    <w:abstractNumId w:val="23"/>
  </w:num>
  <w:num w:numId="26">
    <w:abstractNumId w:val="14"/>
  </w:num>
  <w:num w:numId="27">
    <w:abstractNumId w:val="18"/>
  </w:num>
  <w:num w:numId="28">
    <w:abstractNumId w:val="28"/>
  </w:num>
  <w:num w:numId="29">
    <w:abstractNumId w:val="29"/>
  </w:num>
  <w:num w:numId="30">
    <w:abstractNumId w:val="22"/>
  </w:num>
  <w:num w:numId="31">
    <w:abstractNumId w:val="19"/>
  </w:num>
  <w:num w:numId="32">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2E6B"/>
    <w:rsid w:val="00033397"/>
    <w:rsid w:val="000342C7"/>
    <w:rsid w:val="00040095"/>
    <w:rsid w:val="00042620"/>
    <w:rsid w:val="00045D78"/>
    <w:rsid w:val="0004695C"/>
    <w:rsid w:val="000475F2"/>
    <w:rsid w:val="00051152"/>
    <w:rsid w:val="00051B46"/>
    <w:rsid w:val="0005208F"/>
    <w:rsid w:val="0005212E"/>
    <w:rsid w:val="00054F0E"/>
    <w:rsid w:val="0005648A"/>
    <w:rsid w:val="00056FCD"/>
    <w:rsid w:val="00061BD0"/>
    <w:rsid w:val="00063F07"/>
    <w:rsid w:val="00064BA2"/>
    <w:rsid w:val="00067E1F"/>
    <w:rsid w:val="000705C2"/>
    <w:rsid w:val="00071F01"/>
    <w:rsid w:val="00072A62"/>
    <w:rsid w:val="00074356"/>
    <w:rsid w:val="00074A6D"/>
    <w:rsid w:val="00074E0B"/>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308CC"/>
    <w:rsid w:val="001326A8"/>
    <w:rsid w:val="00132931"/>
    <w:rsid w:val="00132C93"/>
    <w:rsid w:val="001335E3"/>
    <w:rsid w:val="0013680F"/>
    <w:rsid w:val="00140A8D"/>
    <w:rsid w:val="00140AF7"/>
    <w:rsid w:val="00141F05"/>
    <w:rsid w:val="001450A6"/>
    <w:rsid w:val="0014626D"/>
    <w:rsid w:val="0014785F"/>
    <w:rsid w:val="001509F1"/>
    <w:rsid w:val="00151A61"/>
    <w:rsid w:val="00155D37"/>
    <w:rsid w:val="0015684E"/>
    <w:rsid w:val="001609C9"/>
    <w:rsid w:val="001624A3"/>
    <w:rsid w:val="001629A8"/>
    <w:rsid w:val="0016401A"/>
    <w:rsid w:val="00164233"/>
    <w:rsid w:val="001642A3"/>
    <w:rsid w:val="00164774"/>
    <w:rsid w:val="001649F0"/>
    <w:rsid w:val="00164D68"/>
    <w:rsid w:val="0016591F"/>
    <w:rsid w:val="00166347"/>
    <w:rsid w:val="001722AC"/>
    <w:rsid w:val="00172AFA"/>
    <w:rsid w:val="001731F0"/>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59E9"/>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9C3"/>
    <w:rsid w:val="00460D8B"/>
    <w:rsid w:val="00462C50"/>
    <w:rsid w:val="00464BF9"/>
    <w:rsid w:val="004656FD"/>
    <w:rsid w:val="00465AE0"/>
    <w:rsid w:val="00465C8F"/>
    <w:rsid w:val="00465DD6"/>
    <w:rsid w:val="00467718"/>
    <w:rsid w:val="00470459"/>
    <w:rsid w:val="004745E6"/>
    <w:rsid w:val="00477373"/>
    <w:rsid w:val="00480550"/>
    <w:rsid w:val="00483AFF"/>
    <w:rsid w:val="00484DBF"/>
    <w:rsid w:val="004862A9"/>
    <w:rsid w:val="00486CD7"/>
    <w:rsid w:val="00490813"/>
    <w:rsid w:val="00490E2A"/>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0A18"/>
    <w:rsid w:val="004C206C"/>
    <w:rsid w:val="004C3944"/>
    <w:rsid w:val="004C4E76"/>
    <w:rsid w:val="004C56B5"/>
    <w:rsid w:val="004C654E"/>
    <w:rsid w:val="004C7AE9"/>
    <w:rsid w:val="004D1647"/>
    <w:rsid w:val="004D3578"/>
    <w:rsid w:val="004D380D"/>
    <w:rsid w:val="004D4144"/>
    <w:rsid w:val="004D4F73"/>
    <w:rsid w:val="004E0793"/>
    <w:rsid w:val="004E213A"/>
    <w:rsid w:val="004E268E"/>
    <w:rsid w:val="004E2FA7"/>
    <w:rsid w:val="004E3504"/>
    <w:rsid w:val="004E4813"/>
    <w:rsid w:val="004E57BE"/>
    <w:rsid w:val="004E58B1"/>
    <w:rsid w:val="004E7A48"/>
    <w:rsid w:val="004F0A14"/>
    <w:rsid w:val="004F1843"/>
    <w:rsid w:val="004F2CEF"/>
    <w:rsid w:val="004F4CF7"/>
    <w:rsid w:val="004F536A"/>
    <w:rsid w:val="005020E7"/>
    <w:rsid w:val="00502ACC"/>
    <w:rsid w:val="00503171"/>
    <w:rsid w:val="005104C3"/>
    <w:rsid w:val="0051206A"/>
    <w:rsid w:val="00512309"/>
    <w:rsid w:val="00512CFF"/>
    <w:rsid w:val="00514482"/>
    <w:rsid w:val="00520A53"/>
    <w:rsid w:val="00522C51"/>
    <w:rsid w:val="005258EB"/>
    <w:rsid w:val="00526054"/>
    <w:rsid w:val="00526E01"/>
    <w:rsid w:val="00530762"/>
    <w:rsid w:val="005323EE"/>
    <w:rsid w:val="00534DA0"/>
    <w:rsid w:val="00537356"/>
    <w:rsid w:val="005411E7"/>
    <w:rsid w:val="00543E6C"/>
    <w:rsid w:val="00544ECE"/>
    <w:rsid w:val="00552573"/>
    <w:rsid w:val="005536AB"/>
    <w:rsid w:val="00556793"/>
    <w:rsid w:val="005626B4"/>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3B49"/>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5083"/>
    <w:rsid w:val="006859FC"/>
    <w:rsid w:val="006863A7"/>
    <w:rsid w:val="00690975"/>
    <w:rsid w:val="00690FBE"/>
    <w:rsid w:val="0069274F"/>
    <w:rsid w:val="00696D6B"/>
    <w:rsid w:val="00697279"/>
    <w:rsid w:val="006978CD"/>
    <w:rsid w:val="006A04E4"/>
    <w:rsid w:val="006A0EEC"/>
    <w:rsid w:val="006A119F"/>
    <w:rsid w:val="006A1637"/>
    <w:rsid w:val="006A18B1"/>
    <w:rsid w:val="006A364A"/>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B19D4"/>
    <w:rsid w:val="007B2C0A"/>
    <w:rsid w:val="007B44AB"/>
    <w:rsid w:val="007B61E7"/>
    <w:rsid w:val="007B68B7"/>
    <w:rsid w:val="007B6B71"/>
    <w:rsid w:val="007B7782"/>
    <w:rsid w:val="007C095F"/>
    <w:rsid w:val="007C1A55"/>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3CDA"/>
    <w:rsid w:val="0081452D"/>
    <w:rsid w:val="008176B8"/>
    <w:rsid w:val="00820849"/>
    <w:rsid w:val="008218C2"/>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B1C"/>
    <w:rsid w:val="008A40B0"/>
    <w:rsid w:val="008A4C78"/>
    <w:rsid w:val="008B0A25"/>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FD4"/>
    <w:rsid w:val="009A4FD9"/>
    <w:rsid w:val="009A5190"/>
    <w:rsid w:val="009B28F7"/>
    <w:rsid w:val="009B6C3A"/>
    <w:rsid w:val="009B7671"/>
    <w:rsid w:val="009C01DA"/>
    <w:rsid w:val="009C2009"/>
    <w:rsid w:val="009C4014"/>
    <w:rsid w:val="009C55D0"/>
    <w:rsid w:val="009C55E8"/>
    <w:rsid w:val="009C67DB"/>
    <w:rsid w:val="009C7DAE"/>
    <w:rsid w:val="009D0FF6"/>
    <w:rsid w:val="009D30B7"/>
    <w:rsid w:val="009D73C0"/>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4914"/>
    <w:rsid w:val="00A14AB6"/>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4793"/>
    <w:rsid w:val="00A74944"/>
    <w:rsid w:val="00A74BC8"/>
    <w:rsid w:val="00A77741"/>
    <w:rsid w:val="00A77C20"/>
    <w:rsid w:val="00A81258"/>
    <w:rsid w:val="00A82346"/>
    <w:rsid w:val="00A83F31"/>
    <w:rsid w:val="00A85310"/>
    <w:rsid w:val="00A85DCD"/>
    <w:rsid w:val="00A90B53"/>
    <w:rsid w:val="00A92977"/>
    <w:rsid w:val="00A93099"/>
    <w:rsid w:val="00A95D85"/>
    <w:rsid w:val="00A95EC3"/>
    <w:rsid w:val="00A96374"/>
    <w:rsid w:val="00A9671C"/>
    <w:rsid w:val="00AA0C38"/>
    <w:rsid w:val="00AA0F95"/>
    <w:rsid w:val="00AA2EC0"/>
    <w:rsid w:val="00AA4E8F"/>
    <w:rsid w:val="00AA53C6"/>
    <w:rsid w:val="00AB0EE8"/>
    <w:rsid w:val="00AB14C4"/>
    <w:rsid w:val="00AB30AE"/>
    <w:rsid w:val="00AB3B76"/>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35C"/>
    <w:rsid w:val="00B31AA3"/>
    <w:rsid w:val="00B32436"/>
    <w:rsid w:val="00B34185"/>
    <w:rsid w:val="00B35B30"/>
    <w:rsid w:val="00B36640"/>
    <w:rsid w:val="00B37066"/>
    <w:rsid w:val="00B4022D"/>
    <w:rsid w:val="00B4029E"/>
    <w:rsid w:val="00B4115B"/>
    <w:rsid w:val="00B4376D"/>
    <w:rsid w:val="00B446F3"/>
    <w:rsid w:val="00B4479D"/>
    <w:rsid w:val="00B46DFA"/>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92E27"/>
    <w:rsid w:val="00B931D0"/>
    <w:rsid w:val="00B94EC5"/>
    <w:rsid w:val="00B95C0E"/>
    <w:rsid w:val="00BA0F1F"/>
    <w:rsid w:val="00BA2519"/>
    <w:rsid w:val="00BA4DBE"/>
    <w:rsid w:val="00BA79DD"/>
    <w:rsid w:val="00BB05BD"/>
    <w:rsid w:val="00BC434A"/>
    <w:rsid w:val="00BC6DEB"/>
    <w:rsid w:val="00BD1EA5"/>
    <w:rsid w:val="00BD24BE"/>
    <w:rsid w:val="00BD2981"/>
    <w:rsid w:val="00BD4231"/>
    <w:rsid w:val="00BD4919"/>
    <w:rsid w:val="00BD5F08"/>
    <w:rsid w:val="00BE0EDA"/>
    <w:rsid w:val="00BE2185"/>
    <w:rsid w:val="00BE3ECA"/>
    <w:rsid w:val="00BE5235"/>
    <w:rsid w:val="00BE543D"/>
    <w:rsid w:val="00BF21B4"/>
    <w:rsid w:val="00BF3C1E"/>
    <w:rsid w:val="00BF4007"/>
    <w:rsid w:val="00BF41EC"/>
    <w:rsid w:val="00BF5EEB"/>
    <w:rsid w:val="00BF626E"/>
    <w:rsid w:val="00BF77B2"/>
    <w:rsid w:val="00BF79F1"/>
    <w:rsid w:val="00C00499"/>
    <w:rsid w:val="00C01A56"/>
    <w:rsid w:val="00C01E2A"/>
    <w:rsid w:val="00C021D8"/>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40DC0"/>
    <w:rsid w:val="00C40E35"/>
    <w:rsid w:val="00C4286B"/>
    <w:rsid w:val="00C430F9"/>
    <w:rsid w:val="00C43CDF"/>
    <w:rsid w:val="00C5249E"/>
    <w:rsid w:val="00C531E7"/>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750"/>
    <w:rsid w:val="00CB6AF0"/>
    <w:rsid w:val="00CC122B"/>
    <w:rsid w:val="00CC2CC8"/>
    <w:rsid w:val="00CC44EF"/>
    <w:rsid w:val="00CC4DEA"/>
    <w:rsid w:val="00CC6CA5"/>
    <w:rsid w:val="00CD0E51"/>
    <w:rsid w:val="00CD11AE"/>
    <w:rsid w:val="00CD2620"/>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D00574"/>
    <w:rsid w:val="00D007C0"/>
    <w:rsid w:val="00D018BE"/>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72F"/>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3B"/>
    <w:rsid w:val="00E008E9"/>
    <w:rsid w:val="00E00CEF"/>
    <w:rsid w:val="00E019DD"/>
    <w:rsid w:val="00E02877"/>
    <w:rsid w:val="00E048B4"/>
    <w:rsid w:val="00E05545"/>
    <w:rsid w:val="00E05FB9"/>
    <w:rsid w:val="00E07E67"/>
    <w:rsid w:val="00E10381"/>
    <w:rsid w:val="00E13303"/>
    <w:rsid w:val="00E17960"/>
    <w:rsid w:val="00E20568"/>
    <w:rsid w:val="00E2144D"/>
    <w:rsid w:val="00E22A8A"/>
    <w:rsid w:val="00E243B8"/>
    <w:rsid w:val="00E27680"/>
    <w:rsid w:val="00E30274"/>
    <w:rsid w:val="00E32ACD"/>
    <w:rsid w:val="00E3347C"/>
    <w:rsid w:val="00E33514"/>
    <w:rsid w:val="00E338CF"/>
    <w:rsid w:val="00E33B0E"/>
    <w:rsid w:val="00E46555"/>
    <w:rsid w:val="00E47BC4"/>
    <w:rsid w:val="00E5071A"/>
    <w:rsid w:val="00E52EBD"/>
    <w:rsid w:val="00E55C02"/>
    <w:rsid w:val="00E568A6"/>
    <w:rsid w:val="00E569A4"/>
    <w:rsid w:val="00E57A08"/>
    <w:rsid w:val="00E60C6F"/>
    <w:rsid w:val="00E62835"/>
    <w:rsid w:val="00E648F0"/>
    <w:rsid w:val="00E655A7"/>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282"/>
    <w:rsid w:val="00EF0D20"/>
    <w:rsid w:val="00EF115B"/>
    <w:rsid w:val="00EF4175"/>
    <w:rsid w:val="00EF4630"/>
    <w:rsid w:val="00EF5AC3"/>
    <w:rsid w:val="00EF628F"/>
    <w:rsid w:val="00EF7667"/>
    <w:rsid w:val="00F00780"/>
    <w:rsid w:val="00F025A2"/>
    <w:rsid w:val="00F03003"/>
    <w:rsid w:val="00F03C5A"/>
    <w:rsid w:val="00F0430E"/>
    <w:rsid w:val="00F076C8"/>
    <w:rsid w:val="00F13D6C"/>
    <w:rsid w:val="00F16632"/>
    <w:rsid w:val="00F17F82"/>
    <w:rsid w:val="00F2026E"/>
    <w:rsid w:val="00F21F3E"/>
    <w:rsid w:val="00F2210A"/>
    <w:rsid w:val="00F22463"/>
    <w:rsid w:val="00F23E13"/>
    <w:rsid w:val="00F24153"/>
    <w:rsid w:val="00F31A73"/>
    <w:rsid w:val="00F37743"/>
    <w:rsid w:val="00F402FC"/>
    <w:rsid w:val="00F4160A"/>
    <w:rsid w:val="00F418AD"/>
    <w:rsid w:val="00F41BFB"/>
    <w:rsid w:val="00F41D6C"/>
    <w:rsid w:val="00F42D7E"/>
    <w:rsid w:val="00F4454A"/>
    <w:rsid w:val="00F456C3"/>
    <w:rsid w:val="00F50F3A"/>
    <w:rsid w:val="00F5271E"/>
    <w:rsid w:val="00F54760"/>
    <w:rsid w:val="00F54A3D"/>
    <w:rsid w:val="00F56DDF"/>
    <w:rsid w:val="00F57E74"/>
    <w:rsid w:val="00F609E8"/>
    <w:rsid w:val="00F62A26"/>
    <w:rsid w:val="00F653B8"/>
    <w:rsid w:val="00F65FC0"/>
    <w:rsid w:val="00F703DE"/>
    <w:rsid w:val="00F70559"/>
    <w:rsid w:val="00F70A2C"/>
    <w:rsid w:val="00F76C5A"/>
    <w:rsid w:val="00F76F8F"/>
    <w:rsid w:val="00F82564"/>
    <w:rsid w:val="00F826B3"/>
    <w:rsid w:val="00F8275A"/>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F1FB9"/>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5F11E0"/>
    <w:pPr>
      <w:spacing w:after="0"/>
      <w:ind w:left="720"/>
      <w:contextualSpacing/>
    </w:pPr>
    <w:rPr>
      <w:rFonts w:eastAsia="Times New Roman"/>
      <w:sz w:val="24"/>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pPr>
      <w:spacing w:after="18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4.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7.xml><?xml version="1.0" encoding="utf-8"?>
<ds:datastoreItem xmlns:ds="http://schemas.openxmlformats.org/officeDocument/2006/customXml" ds:itemID="{F56C5DB8-268D-4C76-89C2-525402136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417</TotalTime>
  <Pages>2</Pages>
  <Words>722</Words>
  <Characters>4333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Management of identifiers during CHO</vt:lpstr>
    </vt:vector>
  </TitlesOfParts>
  <Company>Nokia, Nokia Shanghai Bell</Company>
  <LinksUpToDate>false</LinksUpToDate>
  <CharactersWithSpaces>5045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Late data forwarding in case of multiple targets prepared for CHO</dc:title>
  <dc:subject>3GPP RAN3 #106</dc:subject>
  <dc:creator>Benoist Sébire</dc:creator>
  <cp:keywords>&lt;keyword[, keyword, ]&gt;</cp:keywords>
  <dc:description/>
  <cp:lastModifiedBy>Nokia</cp:lastModifiedBy>
  <cp:revision>37</cp:revision>
  <cp:lastPrinted>2019-03-27T07:16:00Z</cp:lastPrinted>
  <dcterms:created xsi:type="dcterms:W3CDTF">2019-09-17T12:17:00Z</dcterms:created>
  <dcterms:modified xsi:type="dcterms:W3CDTF">2019-11-08T10:07:00Z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